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jc w:val="center"/>
        <w:tblInd w:w="-447" w:type="dxa"/>
        <w:tblLayout w:type="fixed"/>
        <w:tblLook w:val="04A0" w:firstRow="1" w:lastRow="0" w:firstColumn="1" w:lastColumn="0" w:noHBand="0" w:noVBand="1"/>
      </w:tblPr>
      <w:tblGrid>
        <w:gridCol w:w="3526"/>
        <w:gridCol w:w="2269"/>
        <w:gridCol w:w="4090"/>
      </w:tblGrid>
      <w:tr w:rsidR="00715774" w:rsidTr="00715774">
        <w:trPr>
          <w:trHeight w:val="2235"/>
          <w:jc w:val="center"/>
        </w:trPr>
        <w:tc>
          <w:tcPr>
            <w:tcW w:w="3523" w:type="dxa"/>
            <w:hideMark/>
          </w:tcPr>
          <w:p w:rsidR="00715774" w:rsidRDefault="0071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715774" w:rsidRDefault="0071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ПРИМАНЫЧСКОГО </w:t>
            </w:r>
          </w:p>
          <w:p w:rsidR="00715774" w:rsidRDefault="0071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СЕЛЬСКОГО  МУНИЦИПАЛЬНОГО ОБРАЗОВАНИЯ </w:t>
            </w:r>
          </w:p>
          <w:p w:rsidR="00715774" w:rsidRDefault="00715774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 КАЛМЫКИЯ</w:t>
            </w:r>
          </w:p>
        </w:tc>
        <w:tc>
          <w:tcPr>
            <w:tcW w:w="2268" w:type="dxa"/>
            <w:hideMark/>
          </w:tcPr>
          <w:p w:rsidR="00715774" w:rsidRDefault="00715774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dxa"/>
            <w:hideMark/>
          </w:tcPr>
          <w:p w:rsidR="00715774" w:rsidRDefault="00715774">
            <w:pPr>
              <w:spacing w:after="0" w:line="240" w:lineRule="auto"/>
              <w:jc w:val="center"/>
              <w:rPr>
                <w:rFonts w:ascii="Times HalmWin" w:eastAsia="Times New Roman" w:hAnsi="Times HalmWi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ХАЛЬМГ   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ҢҺ</w:t>
            </w:r>
            <w:r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ЧИН</w:t>
            </w:r>
          </w:p>
          <w:p w:rsidR="00715774" w:rsidRDefault="0071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 xml:space="preserve">ПРИМАНЫЧСК </w:t>
            </w:r>
            <w:proofErr w:type="spellStart"/>
            <w:r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ə</w:t>
            </w:r>
            <w:r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ə</w:t>
            </w:r>
            <w:proofErr w:type="spellEnd"/>
          </w:p>
          <w:p w:rsidR="00715774" w:rsidRDefault="0071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 </w:t>
            </w:r>
            <w:r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HalmWin" w:eastAsia="Times New Roman" w:hAnsi="Times HalmWin" w:cs="Times New Roman"/>
                <w:b/>
                <w:sz w:val="24"/>
                <w:szCs w:val="24"/>
                <w:lang w:val="en-US" w:eastAsia="ru-RU"/>
              </w:rPr>
              <w:t>Y</w:t>
            </w:r>
            <w:proofErr w:type="spellStart"/>
            <w:proofErr w:type="gramEnd"/>
            <w:r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РД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ə</w:t>
            </w:r>
            <w:r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ЦИН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АДМИНИСТРАЦИН</w:t>
            </w:r>
          </w:p>
          <w:p w:rsidR="00715774" w:rsidRDefault="0071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ТОГТАВР</w:t>
            </w:r>
          </w:p>
        </w:tc>
      </w:tr>
    </w:tbl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359144, Республика Калмыкия,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Приманыч, ул. Гагарина10/1</w:t>
      </w:r>
    </w:p>
    <w:p w:rsidR="00715774" w:rsidRDefault="00715774" w:rsidP="0071577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primanicskoesmo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15774" w:rsidRDefault="00715774" w:rsidP="007157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774" w:rsidRDefault="00715774" w:rsidP="00715774">
      <w:pPr>
        <w:tabs>
          <w:tab w:val="left" w:pos="2835"/>
          <w:tab w:val="left" w:pos="7812"/>
        </w:tabs>
        <w:spacing w:after="0" w:line="240" w:lineRule="auto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 </w:t>
      </w:r>
      <w:bookmarkStart w:id="0" w:name="_GoBack"/>
      <w:r>
        <w:rPr>
          <w:rFonts w:ascii="Times New Roman" w:eastAsia="Calibri" w:hAnsi="Times New Roman" w:cs="Times New Roman"/>
          <w:sz w:val="28"/>
          <w:szCs w:val="21"/>
        </w:rPr>
        <w:t xml:space="preserve">« 12 » мая 2021 года                                № 16                              пос. Приманыч                                                                  </w:t>
      </w:r>
    </w:p>
    <w:p w:rsidR="00715774" w:rsidRDefault="00715774" w:rsidP="00715774">
      <w:pPr>
        <w:tabs>
          <w:tab w:val="left" w:pos="2835"/>
          <w:tab w:val="left" w:pos="7812"/>
        </w:tabs>
        <w:spacing w:after="0" w:line="240" w:lineRule="auto"/>
        <w:rPr>
          <w:rFonts w:ascii="Times New Roman" w:eastAsia="Calibri" w:hAnsi="Times New Roman" w:cs="Times New Roman"/>
          <w:sz w:val="28"/>
          <w:szCs w:val="21"/>
        </w:rPr>
      </w:pPr>
    </w:p>
    <w:bookmarkEnd w:id="0"/>
    <w:p w:rsidR="00715774" w:rsidRDefault="00715774" w:rsidP="007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774" w:rsidRDefault="00715774" w:rsidP="007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«Охрана и использование земель на территории Приманычского сельского муниципального образования Республики Калмыкия на 2021-2025 годы»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74" w:rsidRDefault="00715774" w:rsidP="00715774">
      <w:pPr>
        <w:widowControl w:val="0"/>
        <w:tabs>
          <w:tab w:val="left" w:pos="-127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11, 12, 13 и 42 Земельного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кодекса РФ, </w:t>
      </w:r>
      <w:hyperlink r:id="rId7" w:history="1">
        <w:r>
          <w:rPr>
            <w:rStyle w:val="a3"/>
            <w:rFonts w:ascii="Times New Roman" w:eastAsia="Times New Roman" w:hAnsi="Times New Roman" w:cs="Calibri"/>
            <w:color w:val="auto"/>
            <w:sz w:val="28"/>
            <w:szCs w:val="28"/>
            <w:u w:val="none"/>
            <w:lang w:eastAsia="ru-RU"/>
          </w:rPr>
          <w:t>ч.2 ст.14.1</w:t>
        </w:r>
      </w:hyperlink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Уставом Приманычского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представлением  Прокуратуры Ики-Бурульского района РК,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Приманычского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Республики Калмыкия</w:t>
      </w:r>
      <w:proofErr w:type="gramEnd"/>
    </w:p>
    <w:p w:rsidR="00715774" w:rsidRDefault="00715774" w:rsidP="00715774">
      <w:pPr>
        <w:widowControl w:val="0"/>
        <w:tabs>
          <w:tab w:val="left" w:pos="-127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15774" w:rsidRDefault="00715774" w:rsidP="00715774">
      <w:pPr>
        <w:widowControl w:val="0"/>
        <w:tabs>
          <w:tab w:val="left" w:pos="-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15774" w:rsidRDefault="00715774" w:rsidP="007157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774" w:rsidRDefault="00715774" w:rsidP="007157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«Охрана и использование земель на   территории Приманычского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2021-2025 годы», согласно приложениям.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на официальном сайте администрации Ики-Бурульского РМО РК в сети «Интернет».</w:t>
      </w:r>
    </w:p>
    <w:p w:rsidR="00715774" w:rsidRDefault="00715774" w:rsidP="007157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15774" w:rsidRDefault="00715774" w:rsidP="00715774">
      <w:pPr>
        <w:widowControl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774" w:rsidRDefault="00715774" w:rsidP="00715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15774" w:rsidRDefault="00715774" w:rsidP="00715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Приманычского сельского</w:t>
      </w:r>
    </w:p>
    <w:p w:rsidR="00715774" w:rsidRDefault="00715774" w:rsidP="00715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А.Э.Опаев</w:t>
      </w:r>
      <w:proofErr w:type="spellEnd"/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774" w:rsidRDefault="00715774" w:rsidP="00715774">
      <w:pPr>
        <w:spacing w:after="0" w:line="240" w:lineRule="auto"/>
        <w:ind w:firstLine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715774" w:rsidRDefault="00715774" w:rsidP="00715774">
      <w:pPr>
        <w:spacing w:after="0" w:line="240" w:lineRule="auto"/>
        <w:ind w:firstLine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774" w:rsidRDefault="00715774" w:rsidP="00715774">
      <w:pPr>
        <w:spacing w:after="0" w:line="240" w:lineRule="auto"/>
        <w:ind w:firstLine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774" w:rsidRDefault="00715774" w:rsidP="00715774">
      <w:pPr>
        <w:spacing w:after="0" w:line="240" w:lineRule="auto"/>
        <w:ind w:firstLine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774" w:rsidRDefault="00715774" w:rsidP="00715774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Приложение</w:t>
      </w:r>
    </w:p>
    <w:p w:rsidR="00715774" w:rsidRDefault="00715774" w:rsidP="00715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Приманычского </w:t>
      </w:r>
    </w:p>
    <w:p w:rsidR="00715774" w:rsidRDefault="00715774" w:rsidP="00715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муниципального образования </w:t>
      </w:r>
    </w:p>
    <w:p w:rsidR="00715774" w:rsidRDefault="00715774" w:rsidP="00715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Калмыкия от  года от 12.05.2021г. № 16</w:t>
      </w:r>
    </w:p>
    <w:p w:rsidR="00715774" w:rsidRDefault="00715774" w:rsidP="007157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715774" w:rsidRDefault="00715774" w:rsidP="007157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5774" w:rsidRDefault="00715774" w:rsidP="00715774">
      <w:pPr>
        <w:spacing w:before="115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715774" w:rsidRDefault="00715774" w:rsidP="00715774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и использование земель на территории Приманычского сельского муниципального образования Республики Калмыкия на 2021-2025 годы»</w:t>
      </w:r>
    </w:p>
    <w:p w:rsidR="00715774" w:rsidRDefault="00715774" w:rsidP="00715774">
      <w:pPr>
        <w:spacing w:before="115" w:after="0" w:line="240" w:lineRule="auto"/>
        <w:ind w:left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774" w:rsidRDefault="00715774" w:rsidP="00715774">
      <w:pPr>
        <w:keepNext/>
        <w:tabs>
          <w:tab w:val="left" w:pos="22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715774" w:rsidRDefault="00715774" w:rsidP="00715774">
      <w:pPr>
        <w:keepNext/>
        <w:tabs>
          <w:tab w:val="left" w:pos="22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715774" w:rsidRDefault="00715774" w:rsidP="00715774">
      <w:pPr>
        <w:spacing w:before="115" w:after="0" w:line="240" w:lineRule="auto"/>
        <w:ind w:left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«Охрана и использование земель на территории Приманычского сельского муниципального образования Республики Калмыкия </w:t>
      </w:r>
    </w:p>
    <w:p w:rsidR="00715774" w:rsidRDefault="00715774" w:rsidP="00715774">
      <w:pPr>
        <w:spacing w:before="115" w:after="0" w:line="240" w:lineRule="auto"/>
        <w:ind w:left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 годы»</w:t>
      </w:r>
    </w:p>
    <w:p w:rsidR="00715774" w:rsidRDefault="00715774" w:rsidP="00715774">
      <w:pPr>
        <w:spacing w:before="115" w:after="0" w:line="240" w:lineRule="auto"/>
        <w:ind w:left="562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tbl>
      <w:tblPr>
        <w:tblW w:w="963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7"/>
        <w:gridCol w:w="6643"/>
      </w:tblGrid>
      <w:tr w:rsidR="00715774" w:rsidTr="00715774">
        <w:trPr>
          <w:jc w:val="center"/>
        </w:trPr>
        <w:tc>
          <w:tcPr>
            <w:tcW w:w="29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6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«Охрана и использование земель на   территории Приманычского сельского муниципального образования Республики Калмыкия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 годы»</w:t>
            </w:r>
          </w:p>
        </w:tc>
      </w:tr>
      <w:tr w:rsidR="00715774" w:rsidTr="00715774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для разработки муниципальной 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06.10.2003 года №131-ФЗ «Об общих принципах организации местного самоуправления в РФ», Земельный кодекс РФ</w:t>
            </w:r>
          </w:p>
        </w:tc>
      </w:tr>
      <w:tr w:rsidR="00715774" w:rsidTr="00715774">
        <w:trPr>
          <w:trHeight w:val="472"/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Заказчик муниципальной 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>
            <w:pPr>
              <w:snapToGrid w:val="0"/>
              <w:spacing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Приманычское сельское муниципальное образование Республики Калмыкия   </w:t>
            </w:r>
          </w:p>
        </w:tc>
      </w:tr>
      <w:tr w:rsidR="00715774" w:rsidTr="00715774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Разработчик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 Приманычского сельского муниципального образования Республики Калмыкия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5774" w:rsidTr="00715774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программы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 Приманычского сельского муниципального образования Республики Калмыкия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5774" w:rsidTr="00715774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715774" w:rsidRDefault="00715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</w:p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</w:t>
            </w:r>
          </w:p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охраны земель на территории  Приманычского сельского муниципального образования Республики Калмыкия, в том числе: </w:t>
            </w:r>
          </w:p>
          <w:p w:rsidR="00715774" w:rsidRDefault="00715774" w:rsidP="00C75249">
            <w:pPr>
              <w:numPr>
                <w:ilvl w:val="0"/>
                <w:numId w:val="1"/>
              </w:numPr>
              <w:spacing w:before="144" w:after="14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715774" w:rsidRDefault="00715774" w:rsidP="00C75249">
            <w:pPr>
              <w:numPr>
                <w:ilvl w:val="0"/>
                <w:numId w:val="1"/>
              </w:numPr>
              <w:spacing w:before="144" w:after="14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рационального использования земель</w:t>
            </w:r>
          </w:p>
          <w:p w:rsidR="00715774" w:rsidRDefault="00715774" w:rsidP="00C75249">
            <w:pPr>
              <w:numPr>
                <w:ilvl w:val="0"/>
                <w:numId w:val="1"/>
              </w:numPr>
              <w:spacing w:before="144" w:after="14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охраны и восстановление плодородия земель;</w:t>
            </w:r>
          </w:p>
          <w:p w:rsidR="00715774" w:rsidRDefault="00715774" w:rsidP="00C75249">
            <w:pPr>
              <w:numPr>
                <w:ilvl w:val="0"/>
                <w:numId w:val="1"/>
              </w:numPr>
              <w:spacing w:before="144" w:after="14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</w:tbl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715774" w:rsidRDefault="00715774" w:rsidP="00715774">
      <w:pPr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715774" w:rsidRDefault="00715774" w:rsidP="00715774">
      <w:pPr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715774" w:rsidRDefault="00715774" w:rsidP="00715774">
      <w:pPr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715774" w:rsidRDefault="00715774" w:rsidP="00715774">
      <w:pPr>
        <w:autoSpaceDE w:val="0"/>
        <w:autoSpaceDN w:val="0"/>
        <w:spacing w:after="0" w:line="240" w:lineRule="auto"/>
        <w:rPr>
          <w:b/>
          <w:sz w:val="24"/>
          <w:szCs w:val="24"/>
        </w:rPr>
      </w:pPr>
    </w:p>
    <w:tbl>
      <w:tblPr>
        <w:tblW w:w="963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7"/>
        <w:gridCol w:w="6643"/>
      </w:tblGrid>
      <w:tr w:rsidR="00715774" w:rsidTr="00715774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задачи муниципальной 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с целью повышения биологического потенциала земель муниципального образования:</w:t>
            </w:r>
          </w:p>
          <w:p w:rsidR="00715774" w:rsidRDefault="00715774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улучшения условий для устойчивого земледелия, </w:t>
            </w:r>
          </w:p>
          <w:p w:rsidR="00715774" w:rsidRDefault="00715774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повышения плодородия почв, </w:t>
            </w:r>
          </w:p>
          <w:p w:rsidR="00715774" w:rsidRDefault="00715774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улучшения гидротермического режима,</w:t>
            </w:r>
          </w:p>
          <w:p w:rsidR="00715774" w:rsidRDefault="00715774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сокращения поверхностного стока, </w:t>
            </w:r>
          </w:p>
          <w:p w:rsidR="00715774" w:rsidRDefault="00715774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увеличения поглощения углекислого и других газов, </w:t>
            </w:r>
          </w:p>
          <w:p w:rsidR="00715774" w:rsidRDefault="00715774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оптимизации процессов почвообразования,</w:t>
            </w:r>
          </w:p>
          <w:p w:rsidR="00715774" w:rsidRDefault="00715774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увеличения водности рек и водоёмов, </w:t>
            </w:r>
          </w:p>
          <w:p w:rsidR="00715774" w:rsidRDefault="00715774">
            <w:pPr>
              <w:snapToGrid w:val="0"/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создания условий для сохранения биологического разнообразия.</w:t>
            </w:r>
          </w:p>
        </w:tc>
      </w:tr>
      <w:tr w:rsidR="00715774" w:rsidTr="00715774">
        <w:trPr>
          <w:trHeight w:val="951"/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15774" w:rsidRDefault="00715774">
            <w:pPr>
              <w:suppressAutoHyphens/>
              <w:overflowPunct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Показатели (индикаторы) муниципальной программы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 w:rsidP="00C75249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качественных характеристик земель;</w:t>
            </w:r>
          </w:p>
          <w:p w:rsidR="00715774" w:rsidRDefault="00715774" w:rsidP="00C75249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эффективное  использование земель </w:t>
            </w:r>
          </w:p>
        </w:tc>
      </w:tr>
      <w:tr w:rsidR="00715774" w:rsidTr="00715774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2021-2025 годы </w:t>
            </w:r>
          </w:p>
        </w:tc>
      </w:tr>
      <w:tr w:rsidR="00715774" w:rsidTr="00715774">
        <w:trPr>
          <w:cantSplit/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поселения – 0,0 рублей</w:t>
            </w:r>
          </w:p>
        </w:tc>
      </w:tr>
      <w:tr w:rsidR="00715774" w:rsidTr="00715774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Исполнители муниципальной 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 w:rsidP="00C75249">
            <w:pPr>
              <w:numPr>
                <w:ilvl w:val="0"/>
                <w:numId w:val="3"/>
              </w:numPr>
              <w:tabs>
                <w:tab w:val="left" w:pos="62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- Администрация Приманычского сельского муниципального образования Республики Калмыкия.    </w:t>
            </w:r>
          </w:p>
          <w:p w:rsidR="00715774" w:rsidRDefault="00715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-    Иные организации, участвующие в реализации мероприятий     </w:t>
            </w:r>
          </w:p>
          <w:p w:rsidR="00715774" w:rsidRDefault="00715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муниципальной Программы.</w:t>
            </w:r>
          </w:p>
        </w:tc>
      </w:tr>
      <w:tr w:rsidR="00715774" w:rsidTr="00715774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и предполагаемые источники финансирования муниципальной 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Средства местного бюджета поселения -0,0рублей </w:t>
            </w:r>
          </w:p>
        </w:tc>
      </w:tr>
      <w:tr w:rsidR="00715774" w:rsidTr="00715774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15774" w:rsidRDefault="00715774">
            <w:pPr>
              <w:snapToGrid w:val="0"/>
              <w:spacing w:before="144" w:after="14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15774" w:rsidRDefault="00715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улучшение качественных характеристик земель;</w:t>
            </w:r>
          </w:p>
          <w:p w:rsidR="00715774" w:rsidRDefault="007157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 использование земель</w:t>
            </w:r>
          </w:p>
          <w:p w:rsidR="00715774" w:rsidRDefault="007157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</w:tr>
    </w:tbl>
    <w:p w:rsidR="00715774" w:rsidRDefault="00715774" w:rsidP="0071577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15774" w:rsidRDefault="00715774" w:rsidP="0071577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Содержание проблемы и обоснование необходимости её решения программными методами </w:t>
      </w:r>
    </w:p>
    <w:p w:rsidR="00715774" w:rsidRDefault="00715774" w:rsidP="0071577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15774" w:rsidRDefault="00715774" w:rsidP="0071577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715774" w:rsidRDefault="00715774" w:rsidP="00715774">
      <w:pPr>
        <w:numPr>
          <w:ilvl w:val="0"/>
          <w:numId w:val="3"/>
        </w:numPr>
        <w:tabs>
          <w:tab w:val="left" w:pos="624"/>
          <w:tab w:val="num" w:pos="1022"/>
        </w:tabs>
        <w:suppressAutoHyphens/>
        <w:snapToGri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</w:t>
      </w:r>
    </w:p>
    <w:p w:rsidR="00715774" w:rsidRDefault="00715774" w:rsidP="00715774">
      <w:pPr>
        <w:tabs>
          <w:tab w:val="left" w:pos="624"/>
          <w:tab w:val="num" w:pos="1022"/>
        </w:tabs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 озелененные пространства природоохранные зоны и другие выполняют важнейшую роль в решении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 обеспечения условий устойчивого развития территорий муниципалитетов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774" w:rsidRDefault="00715774" w:rsidP="00715774">
      <w:pPr>
        <w:tabs>
          <w:tab w:val="left" w:pos="624"/>
          <w:tab w:val="num" w:pos="1022"/>
        </w:tabs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«Охрана и использование земель на территории Приманычского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Республики Калмыкия  на 2021-2025 годы» (далее –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715774" w:rsidRDefault="00715774" w:rsidP="0071577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 Охрана земель только тогда может быть эффективной, когда обеспечивается рациональное землепользование.</w:t>
      </w:r>
    </w:p>
    <w:p w:rsidR="00715774" w:rsidRDefault="00715774" w:rsidP="00715774">
      <w:pPr>
        <w:numPr>
          <w:ilvl w:val="3"/>
          <w:numId w:val="3"/>
        </w:numPr>
        <w:tabs>
          <w:tab w:val="left" w:pos="624"/>
        </w:tabs>
        <w:suppressAutoHyphens/>
        <w:snapToGri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устойчивого социально-экономического развития территории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Приманычского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15774" w:rsidRDefault="00715774" w:rsidP="00715774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5774" w:rsidRDefault="00715774" w:rsidP="0071577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 III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Цели, задачи и сроки реализации Программы </w:t>
      </w:r>
    </w:p>
    <w:p w:rsidR="00715774" w:rsidRDefault="00715774" w:rsidP="00715774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Целями Программы являются: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повышение эффективности охраны и использования земель на территории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в том числе: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предотвращение деградации, загрязнения, захламления, нарушения земель,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негативных (вредных) воздействий хозяйственной деятельности;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обеспечение рационального использования земель обеспечение охраны и восстановление плодородия земель;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обеспечение улучшения земель, подвергшихся деградации загрязнению,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захламлению, нарушению земель, другим негативным (вредным) воздействиям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хозяйственной деятельности.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774" w:rsidRDefault="00715774" w:rsidP="00715774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Задачами Программы являются: 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работ с целью повышения биологического потенциала земель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образования,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-улучшения условий для устойчивого земледелия,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повышения плодородия почв,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улучшения гидротермического режима,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сокращения поверхностного стока,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увеличения поглощения углекислого и других газов,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оптимизации процессов почвообразования,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создания условий для сохранения биологического разнообразия.</w:t>
      </w:r>
    </w:p>
    <w:p w:rsidR="00715774" w:rsidRDefault="00715774" w:rsidP="00715774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Программы предусмотрена на период с 2021 по 2025 годы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proofErr w:type="gramEnd"/>
    </w:p>
    <w:p w:rsidR="00715774" w:rsidRDefault="00715774" w:rsidP="00715774">
      <w:pPr>
        <w:spacing w:before="144" w:after="144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Ресурсное обеспечение Программы 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мероприятий Программы осуществляется за счёт средств местного бюджета. 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объём финансирования Программы в 2021-2025 годах составляет 0,0 тыс. рублей, из них: 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местного бюджета –0,0 рублей;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Объёмы и источники финансирования подпрограмм и в целом Программы приведены в таблице №1.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реализации Программы по подпрограммам, годам, объёмам и источникам финансирования приведены в таблице №2 к Программе. 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715774" w:rsidRDefault="00715774" w:rsidP="00715774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 V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Механизм реализации Программы 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Отбор исполнителей мероприятий Программы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конкурсной основе в соответствии с законодательством о размещении заказов на поставки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выполнение работ, оказание услуг для муниципальных нужд. 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Механизм реализации Программы предусматривает ежегодное формирование рабочих документов: 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организационного плана действий по реализации мероприятий Программы; 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плана проведения конкурсов на исполнение конкретных мероприятий Программы;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проектов договоров, заключаемых муниципальным заказчиком с исполнителями мероприятий Программы;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перечня работ по подготовке и реализации мероприятий.</w:t>
      </w:r>
    </w:p>
    <w:p w:rsidR="00715774" w:rsidRDefault="00715774" w:rsidP="00715774">
      <w:pPr>
        <w:spacing w:before="288" w:after="144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Организация управления и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ходом реализации Программы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Управление Программой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Приманычского сельского муниципального образования Республики Калмыкия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Исполнители Программы представляют отчёты о ходе реализации программных мероприятий в 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Приманычского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01 марта года, следующего за отчётным календарным годом. 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Отчёт о реализации Программы в соответствующем году должен содержать: </w:t>
      </w:r>
    </w:p>
    <w:p w:rsidR="00715774" w:rsidRDefault="00715774" w:rsidP="007157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общий объём фактически произведенных расходов, всего и в том числе по источникам финансирования; </w:t>
      </w:r>
    </w:p>
    <w:p w:rsidR="00715774" w:rsidRDefault="00715774" w:rsidP="007157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перечень завершённых в течение года мероприятий по Программе; </w:t>
      </w:r>
    </w:p>
    <w:p w:rsidR="00715774" w:rsidRDefault="00715774" w:rsidP="007157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перечень незавершённых в течение года мероприятий Программы и процент их не завершения; </w:t>
      </w:r>
    </w:p>
    <w:p w:rsidR="00715774" w:rsidRDefault="00715774" w:rsidP="007157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715774" w:rsidRDefault="00715774" w:rsidP="00715774">
      <w:pPr>
        <w:spacing w:before="288" w:after="144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 VII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Оценка социально-экономической эффективности реализации Программы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выполнения мероприятий Программы будет обеспечено: </w:t>
      </w:r>
    </w:p>
    <w:p w:rsidR="00715774" w:rsidRDefault="00715774" w:rsidP="007157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качественных характеристик земель;</w:t>
      </w:r>
    </w:p>
    <w:p w:rsidR="00715774" w:rsidRDefault="00715774" w:rsidP="007157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эффективное  использование земель 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774" w:rsidRDefault="00715774" w:rsidP="00715774">
      <w:pPr>
        <w:spacing w:after="120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iCs/>
          <w:color w:val="000000"/>
          <w:kern w:val="2"/>
          <w:sz w:val="28"/>
          <w:szCs w:val="28"/>
          <w:lang w:val="en-US" w:eastAsia="ar-SA"/>
        </w:rPr>
        <w:t>VIII</w:t>
      </w:r>
      <w:r>
        <w:rPr>
          <w:rFonts w:ascii="Times New Roman" w:eastAsia="Calibri" w:hAnsi="Times New Roman" w:cs="Times New Roman"/>
          <w:b/>
          <w:iCs/>
          <w:color w:val="000000"/>
          <w:kern w:val="2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Оценка эффективности реализации Программы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рассчитывается путём соотнесения степени достижения показателей (индикаторов) Программы к уровню её финансирования (расходов).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эффективности реализации Программы (R) за отчётный год рассчитывается по формуле</w:t>
      </w:r>
    </w:p>
    <w:p w:rsidR="00715774" w:rsidRDefault="00715774" w:rsidP="0071577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58"/>
          <w:sz w:val="20"/>
          <w:szCs w:val="20"/>
          <w:lang w:eastAsia="ru-RU"/>
        </w:rPr>
        <w:object w:dxaOrig="259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25pt" o:ole="" filled="t">
            <v:fill color2="black"/>
            <v:imagedata r:id="rId8" o:title=""/>
          </v:shape>
          <o:OLEObject Type="Embed" ProgID="Equation.3" ShapeID="_x0000_i1025" DrawAspect="Content" ObjectID="_1711279970" r:id="rId9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5774" w:rsidRDefault="00715774" w:rsidP="00715774">
      <w:pPr>
        <w:tabs>
          <w:tab w:val="left" w:pos="142"/>
        </w:tabs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N – количество показателей (индикаторов) Программы; </w:t>
      </w:r>
    </w:p>
    <w:p w:rsidR="00715774" w:rsidRDefault="00715774" w:rsidP="007157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65" w:dyaOrig="360">
          <v:shape id="_x0000_i1026" type="#_x0000_t75" style="width:38.25pt;height:18pt" o:ole="" filled="t">
            <v:fill color2="black"/>
            <v:imagedata r:id="rId10" o:title=""/>
          </v:shape>
          <o:OLEObject Type="Embed" ProgID="Equation.3" ShapeID="_x0000_i1026" DrawAspect="Content" ObjectID="_1711279971" r:id="rId1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n-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(индикатора);</w:t>
      </w:r>
    </w:p>
    <w:p w:rsidR="00715774" w:rsidRDefault="00715774" w:rsidP="007157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65" w:dyaOrig="360">
          <v:shape id="_x0000_i1027" type="#_x0000_t75" style="width:38.25pt;height:18pt" o:ole="" filled="t">
            <v:fill color2="black"/>
            <v:imagedata r:id="rId12" o:title=""/>
          </v:shape>
          <o:OLEObject Type="Embed" ProgID="Equation.3" ShapeID="_x0000_i1027" DrawAspect="Content" ObjectID="_1711279972" r:id="rId13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значение n-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(индикатора) на конец отчётного года;</w:t>
      </w:r>
    </w:p>
    <w:p w:rsidR="00715774" w:rsidRDefault="00715774" w:rsidP="007157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50" w:dyaOrig="300">
          <v:shape id="_x0000_i1028" type="#_x0000_t75" style="width:37.5pt;height:15pt" o:ole="" filled="t">
            <v:fill color2="black"/>
            <v:imagedata r:id="rId14" o:title=""/>
          </v:shape>
          <o:OLEObject Type="Embed" ProgID="Equation.3" ShapeID="_x0000_i1028" DrawAspect="Content" ObjectID="_1711279973" r:id="rId15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плановая сумма финансирования по Программе;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35" w:dyaOrig="300">
          <v:shape id="_x0000_i1029" type="#_x0000_t75" style="width:36.75pt;height:15pt" o:ole="" filled="t">
            <v:fill color2="black"/>
            <v:imagedata r:id="rId16" o:title=""/>
          </v:shape>
          <o:OLEObject Type="Embed" ProgID="Equation.3" ShapeID="_x0000_i1029" DrawAspect="Content" ObjectID="_1711279974" r:id="rId17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сумма фактически произведённых расходов на реализацию мероприятий Программы на конец отчётного года.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расчёта показателя эффективности реализации Программы используются показатели (индикаторы), достижение которых предусмотрено в отчётном году.</w:t>
      </w: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74" w:rsidRDefault="00715774" w:rsidP="0071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74" w:rsidRDefault="00715774" w:rsidP="0071577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Таблица №1</w:t>
      </w:r>
    </w:p>
    <w:p w:rsidR="00715774" w:rsidRDefault="00715774" w:rsidP="0071577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к муниципальной Программе «Охрана   </w:t>
      </w:r>
    </w:p>
    <w:p w:rsidR="00715774" w:rsidRDefault="00715774" w:rsidP="0071577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и использование земель на территории </w:t>
      </w:r>
    </w:p>
    <w:p w:rsidR="00715774" w:rsidRDefault="00715774" w:rsidP="0071577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Приманычского сельского муниципального</w:t>
      </w:r>
    </w:p>
    <w:p w:rsidR="00715774" w:rsidRDefault="00715774" w:rsidP="0071577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образования Республики Калмыкия      </w:t>
      </w:r>
    </w:p>
    <w:p w:rsidR="00715774" w:rsidRDefault="00715774" w:rsidP="0071577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на 2021-2025 годы»</w:t>
      </w:r>
    </w:p>
    <w:p w:rsidR="00715774" w:rsidRDefault="00715774" w:rsidP="00715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774" w:rsidRDefault="00715774" w:rsidP="00715774">
      <w:pPr>
        <w:tabs>
          <w:tab w:val="left" w:pos="0"/>
        </w:tabs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ОБЪЁМЫ И ИСТОЧНИКИ ФИНАНСИРОВАНИЯ ПРГРАММЫ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(тыс. руб.)</w:t>
      </w:r>
    </w:p>
    <w:p w:rsidR="00715774" w:rsidRDefault="00715774" w:rsidP="00715774">
      <w:pPr>
        <w:tabs>
          <w:tab w:val="left" w:pos="0"/>
        </w:tabs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585"/>
        <w:gridCol w:w="3060"/>
        <w:gridCol w:w="1914"/>
        <w:gridCol w:w="958"/>
        <w:gridCol w:w="992"/>
        <w:gridCol w:w="993"/>
        <w:gridCol w:w="992"/>
        <w:gridCol w:w="850"/>
      </w:tblGrid>
      <w:tr w:rsidR="00715774" w:rsidTr="00715774">
        <w:trPr>
          <w:cantSplit/>
          <w:trHeight w:hRule="exact" w:val="33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объёмы затрат по источникам  финансирования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715774" w:rsidTr="00715774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774" w:rsidRDefault="0071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774" w:rsidRDefault="0071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774" w:rsidRDefault="0071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15774" w:rsidTr="00715774"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Приманычского СМО РК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5774" w:rsidTr="00715774"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иных участников программы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5774" w:rsidTr="00715774">
        <w:trPr>
          <w:trHeight w:val="56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715774" w:rsidRDefault="00715774" w:rsidP="00715774">
      <w:pPr>
        <w:spacing w:after="0" w:line="240" w:lineRule="auto"/>
        <w:ind w:right="1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774" w:rsidRDefault="00715774" w:rsidP="0071577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№2</w:t>
      </w:r>
    </w:p>
    <w:p w:rsidR="00715774" w:rsidRDefault="00715774" w:rsidP="0071577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к муниципальной Программе «Охрана   </w:t>
      </w:r>
    </w:p>
    <w:p w:rsidR="00715774" w:rsidRDefault="00715774" w:rsidP="0071577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и использование земель на территории </w:t>
      </w:r>
    </w:p>
    <w:p w:rsidR="00715774" w:rsidRDefault="00715774" w:rsidP="0071577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Приманычского сельского муниципального</w:t>
      </w:r>
    </w:p>
    <w:p w:rsidR="00715774" w:rsidRDefault="00715774" w:rsidP="0071577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образования Республики Калмыкия      </w:t>
      </w:r>
    </w:p>
    <w:p w:rsidR="00715774" w:rsidRDefault="00715774" w:rsidP="00715774">
      <w:pPr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на 2021-2025 годы»</w:t>
      </w:r>
    </w:p>
    <w:p w:rsidR="00715774" w:rsidRDefault="00715774" w:rsidP="00715774">
      <w:pPr>
        <w:spacing w:after="0" w:line="240" w:lineRule="auto"/>
        <w:ind w:left="4962" w:right="101" w:hanging="49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5774" w:rsidRDefault="00715774" w:rsidP="0071577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74" w:rsidRDefault="00715774" w:rsidP="0071577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ПРОГРАММНЫХ МЕРОПРИЯТИЙ</w:t>
      </w:r>
    </w:p>
    <w:p w:rsidR="00715774" w:rsidRDefault="00715774" w:rsidP="0071577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95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491"/>
        <w:gridCol w:w="2069"/>
        <w:gridCol w:w="1033"/>
        <w:gridCol w:w="708"/>
        <w:gridCol w:w="709"/>
        <w:gridCol w:w="709"/>
        <w:gridCol w:w="705"/>
        <w:gridCol w:w="30"/>
        <w:gridCol w:w="776"/>
      </w:tblGrid>
      <w:tr w:rsidR="00715774" w:rsidTr="00715774">
        <w:trPr>
          <w:cantSplit/>
          <w:trHeight w:hRule="exact" w:val="1402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средств из бюджета Приманычского СМО РК  ожидаемые конечные результаты</w:t>
            </w:r>
          </w:p>
        </w:tc>
      </w:tr>
      <w:tr w:rsidR="00715774" w:rsidTr="00715774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4" w:rsidRDefault="00715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4" w:rsidRDefault="00715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4" w:rsidRDefault="00715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4" w:rsidRDefault="00715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715774" w:rsidTr="00715774">
        <w:trPr>
          <w:cantSplit/>
          <w:trHeight w:val="25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Приманычского СМО РК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15774" w:rsidTr="00715774">
        <w:trPr>
          <w:cantSplit/>
          <w:trHeight w:val="83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Приманычского СМО РК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15774" w:rsidTr="00715774">
        <w:trPr>
          <w:cantSplit/>
          <w:trHeight w:val="197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Приманычского СМО РК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5774" w:rsidTr="00715774">
        <w:trPr>
          <w:cantSplit/>
          <w:trHeight w:val="6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pacing w:before="100" w:beforeAutospacing="1" w:after="0" w:line="240" w:lineRule="auto"/>
              <w:rPr>
                <w:rFonts w:ascii="Estrangelo Edessa" w:eastAsia="Times New Roman" w:hAnsi="Estrangelo Edessa" w:cs="Estrangelo Edess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Приманычского СМО РК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</w:tr>
      <w:tr w:rsidR="00715774" w:rsidTr="00715774">
        <w:trPr>
          <w:cantSplit/>
          <w:trHeight w:val="4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pacing w:before="100" w:beforeAutospacing="1" w:after="0" w:line="240" w:lineRule="auto"/>
              <w:rPr>
                <w:rFonts w:ascii="Estrangelo Edessa" w:eastAsia="Times New Roman" w:hAnsi="Estrangelo Edessa" w:cs="Estrangelo Edess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фактов самовольных строений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Приманычского СМО РК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</w:tr>
      <w:tr w:rsidR="00715774" w:rsidTr="00715774">
        <w:trPr>
          <w:cantSplit/>
          <w:trHeight w:val="4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Приманычского СМО РК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</w:tr>
      <w:tr w:rsidR="00715774" w:rsidTr="00715774">
        <w:trPr>
          <w:cantSplit/>
          <w:trHeight w:val="4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Приманычского СМО РК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5774" w:rsidTr="00715774">
        <w:trPr>
          <w:cantSplit/>
          <w:trHeight w:val="4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Разъяснение гражданам земельного законодательства РФ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Приманычского СМО РК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</w:tr>
      <w:tr w:rsidR="00715774" w:rsidTr="00715774">
        <w:trPr>
          <w:cantSplit/>
          <w:trHeight w:val="4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pacing w:before="100" w:beforeAutospacing="1" w:after="0" w:line="240" w:lineRule="auto"/>
              <w:rPr>
                <w:rFonts w:ascii="Estrangelo Edessa" w:eastAsia="Times New Roman" w:hAnsi="Estrangelo Edessa" w:cs="Estrangelo Edess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в судебные органы материалов о прекращении права на земельный участок ввиду его ненадлежащего  использования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Приманычского СМО РК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5774" w:rsidTr="00715774">
        <w:trPr>
          <w:cantSplit/>
          <w:trHeight w:val="4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законностью оснований пользования земельными участками в границах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Приманычского СМО РК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Приманычского СМО РК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4" w:rsidRDefault="00715774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</w:tr>
    </w:tbl>
    <w:p w:rsidR="00715774" w:rsidRDefault="00715774" w:rsidP="0071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774" w:rsidRDefault="00715774" w:rsidP="00715774">
      <w:pPr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89439C" w:rsidRDefault="0089439C"/>
    <w:sectPr w:rsidR="0089439C" w:rsidSect="007157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HalmWi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HalmW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B9"/>
    <w:rsid w:val="000A67B9"/>
    <w:rsid w:val="00715774"/>
    <w:rsid w:val="008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2040;fld=134;dst=101133" TargetMode="Externa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2558</Words>
  <Characters>14585</Characters>
  <Application>Microsoft Office Word</Application>
  <DocSecurity>0</DocSecurity>
  <Lines>121</Lines>
  <Paragraphs>34</Paragraphs>
  <ScaleCrop>false</ScaleCrop>
  <Company>Арбитражный суд Республики Калмыкия</Company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2022-04-12T11:46:00Z</dcterms:created>
  <dcterms:modified xsi:type="dcterms:W3CDTF">2022-04-12T11:46:00Z</dcterms:modified>
</cp:coreProperties>
</file>